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5930" w:type="dxa"/>
        <w:jc w:val="start"/>
        <w:tblInd w:w="-57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5930"/>
      </w:tblGrid>
      <w:tr>
        <w:trPr>
          <w:trHeight w:val="450" w:hRule="atLeast"/>
        </w:trPr>
        <w:tc>
          <w:tcPr>
            <w:tcW w:w="15930" w:type="dxa"/>
            <w:tcBorders>
              <w:bottom w:val="single" w:sz="4" w:space="0" w:color="008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Times New Roman" w:cs="Trebuchet MS" w:ascii="Trebuchet MS" w:hAnsi="Trebuchet MS"/>
                <w:b/>
                <w:bCs/>
                <w:i/>
                <w:color w:val="008080"/>
                <w:sz w:val="36"/>
                <w:szCs w:val="36"/>
                <w:lang w:val="uk-UA" w:eastAsia="zh-CN" w:bidi="ar-SA"/>
              </w:rPr>
              <w:t>Прейскурант цін на сезон 202</w:t>
            </w:r>
            <w:r>
              <w:rPr>
                <w:rFonts w:eastAsia="Times New Roman" w:cs="Trebuchet MS" w:ascii="Trebuchet MS" w:hAnsi="Trebuchet MS"/>
                <w:b/>
                <w:bCs/>
                <w:i/>
                <w:color w:val="008080"/>
                <w:sz w:val="36"/>
                <w:szCs w:val="36"/>
                <w:lang w:val="en-US" w:eastAsia="zh-CN" w:bidi="ar-SA"/>
              </w:rPr>
              <w:t>5</w:t>
            </w:r>
            <w:r>
              <w:rPr>
                <w:rFonts w:eastAsia="Times New Roman" w:cs="Trebuchet MS" w:ascii="Trebuchet MS" w:hAnsi="Trebuchet MS"/>
                <w:b/>
                <w:bCs/>
                <w:i/>
                <w:color w:val="008080"/>
                <w:sz w:val="36"/>
                <w:szCs w:val="36"/>
                <w:lang w:val="uk-UA" w:eastAsia="zh-CN" w:bidi="ar-SA"/>
              </w:rPr>
              <w:t xml:space="preserve"> </w:t>
            </w:r>
            <w:r>
              <w:rPr>
                <w:rFonts w:eastAsia="Times New Roman" w:cs="Trebuchet MS" w:ascii="Trebuchet MS" w:hAnsi="Trebuchet MS"/>
                <w:b/>
                <w:bCs/>
                <w:i/>
                <w:color w:val="FF3333"/>
                <w:sz w:val="36"/>
                <w:szCs w:val="36"/>
                <w:lang w:val="uk-UA" w:eastAsia="zh-CN" w:bidi="ar-SA"/>
              </w:rPr>
              <w:t>бази відпочинку «Рибачок-Рось»</w:t>
            </w:r>
            <w:r>
              <w:rPr>
                <w:rFonts w:cs="Trebuchet MS" w:ascii="Trebuchet MS" w:hAnsi="Trebuchet MS"/>
                <w:b/>
                <w:bCs/>
                <w:i/>
                <w:color w:val="FF420E"/>
                <w:sz w:val="36"/>
                <w:szCs w:val="36"/>
                <w:lang w:val="uk-UA"/>
              </w:rPr>
              <w:t xml:space="preserve"> </w:t>
            </w:r>
            <w:r>
              <w:rPr>
                <w:rFonts w:cs="Trebuchet MS" w:ascii="Trebuchet MS" w:hAnsi="Trebuchet MS"/>
                <w:b/>
                <w:bCs/>
                <w:i/>
                <w:color w:val="999999"/>
                <w:sz w:val="36"/>
                <w:szCs w:val="36"/>
                <w:vertAlign w:val="superscript"/>
                <w:lang w:val="uk-UA"/>
              </w:rPr>
              <w:t>(Квазар-Рось)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5895" w:type="dxa"/>
        <w:jc w:val="start"/>
        <w:tblInd w:w="-30" w:type="dxa"/>
        <w:tblLayout w:type="fixed"/>
        <w:tblCellMar>
          <w:top w:w="0" w:type="dxa"/>
          <w:start w:w="15" w:type="dxa"/>
          <w:bottom w:w="0" w:type="dxa"/>
          <w:end w:w="0" w:type="dxa"/>
        </w:tblCellMar>
      </w:tblPr>
      <w:tblGrid>
        <w:gridCol w:w="1373"/>
        <w:gridCol w:w="1853"/>
        <w:gridCol w:w="1853"/>
        <w:gridCol w:w="1853"/>
        <w:gridCol w:w="1853"/>
        <w:gridCol w:w="1853"/>
        <w:gridCol w:w="1853"/>
        <w:gridCol w:w="1702"/>
        <w:gridCol w:w="1702"/>
      </w:tblGrid>
      <w:tr>
        <w:trPr/>
        <w:tc>
          <w:tcPr>
            <w:tcW w:w="1373" w:type="dxa"/>
            <w:vMerge w:val="restart"/>
            <w:tcBorders>
              <w:top w:val="single" w:sz="12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Cs/>
                <w:i/>
                <w:i/>
                <w:lang w:val="uk-UA"/>
              </w:rPr>
            </w:pPr>
            <w:r>
              <w:rPr>
                <w:rFonts w:cs="Cambria" w:ascii="Cambria" w:hAnsi="Cambria"/>
                <w:bCs/>
                <w:i/>
              </w:rPr>
              <w:t>Дні відпо</w:t>
              <w:softHyphen/>
              <w:t>чинку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Cambria" w:ascii="Cambria" w:hAnsi="Cambria"/>
                <w:bCs/>
                <w:i/>
                <w:lang w:val="uk-UA"/>
              </w:rPr>
              <w:t>на</w:t>
            </w:r>
            <w:r>
              <w:rPr>
                <w:rFonts w:cs="Cambria" w:ascii="Cambria" w:hAnsi="Cambria"/>
                <w:bCs/>
                <w:i/>
              </w:rPr>
              <w:t xml:space="preserve"> заїзд</w:t>
            </w:r>
            <w:r>
              <w:rPr>
                <w:rFonts w:cs="Cambria" w:ascii="Cambria" w:hAnsi="Cambria"/>
                <w:bCs/>
                <w:i/>
                <w:lang w:val="uk-UA"/>
              </w:rPr>
              <w:t>и</w:t>
            </w:r>
          </w:p>
        </w:tc>
        <w:tc>
          <w:tcPr>
            <w:tcW w:w="14522" w:type="dxa"/>
            <w:gridSpan w:val="8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fill="DEE6E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i/>
                <w:i/>
                <w:color w:val="444444"/>
                <w:sz w:val="20"/>
                <w:szCs w:val="20"/>
              </w:rPr>
            </w:pPr>
            <w:r>
              <w:rPr>
                <w:rFonts w:cs="Trebuchet MS" w:ascii="Trebuchet MS" w:hAnsi="Trebuchet MS"/>
                <w:i/>
                <w:color w:val="444444"/>
                <w:sz w:val="20"/>
                <w:szCs w:val="20"/>
              </w:rPr>
              <w:t>Будинок</w:t>
            </w:r>
          </w:p>
        </w:tc>
      </w:tr>
      <w:tr>
        <w:trPr>
          <w:trHeight w:val="1171" w:hRule="atLeast"/>
        </w:trPr>
        <w:tc>
          <w:tcPr>
            <w:tcW w:w="1373" w:type="dxa"/>
            <w:vMerge w:val="continue"/>
            <w:tcBorders>
              <w:top w:val="single" w:sz="12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Trebuchet MS" w:ascii="Trebuchet MS" w:hAnsi="Trebuchet MS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1-кімнат.,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2 місця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(№25, 51)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1-кімнат.,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3 місця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(№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 xml:space="preserve">3, 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8, 15, 1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6,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18-23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 xml:space="preserve">, 27, 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28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 xml:space="preserve">37, </w:t>
            </w: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39, 69, 70)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1-кімнат.,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4 місця *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1 кімнат.,</w:t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4 місця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(№30, 43, 45)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2-кімнат.,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5 місць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(№50, 70)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2 кімнат.,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2 поверх,</w:t>
            </w:r>
          </w:p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6 місць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(№48, 49, 52,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Palatino Linotype" w:ascii="Palatino Linotype" w:hAnsi="Palatino Linotype"/>
                <w:sz w:val="20"/>
                <w:szCs w:val="20"/>
                <w:lang w:val="uk-UA"/>
              </w:rPr>
              <w:t>53, 55-60)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2 кімнат.,</w:t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b w:val="false"/>
                <w:bCs w:val="fals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5 місць</w:t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b w:val="false"/>
                <w:bCs w:val="fals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0"/>
                <w:szCs w:val="20"/>
                <w:lang w:val="uk-UA"/>
              </w:rPr>
              <w:t>(«Д»)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Palatino Linotype" w:hAnsi="Palatino Linotype" w:cs="Palatino Linotype"/>
                <w:b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1-кімнат.,</w:t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b w:val="false"/>
                <w:bCs w:val="fals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sz w:val="20"/>
                <w:szCs w:val="20"/>
                <w:lang w:val="uk-UA"/>
              </w:rPr>
              <w:t>3 місця</w:t>
            </w:r>
          </w:p>
          <w:p>
            <w:pPr>
              <w:pStyle w:val="Normal"/>
              <w:jc w:val="center"/>
              <w:rPr>
                <w:rFonts w:ascii="Palatino Linotype" w:hAnsi="Palatino Linotype" w:cs="Palatino Linotype"/>
                <w:b w:val="false"/>
                <w:bCs w:val="false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 w:val="false"/>
                <w:bCs w:val="false"/>
                <w:sz w:val="20"/>
                <w:szCs w:val="20"/>
                <w:lang w:val="uk-UA"/>
              </w:rPr>
              <w:t>(«А»)</w:t>
            </w:r>
          </w:p>
        </w:tc>
      </w:tr>
      <w:tr>
        <w:trPr>
          <w:trHeight w:val="421" w:hRule="atLeast"/>
        </w:trPr>
        <w:tc>
          <w:tcPr>
            <w:tcW w:w="1373" w:type="dxa"/>
            <w:vMerge w:val="continue"/>
            <w:tcBorders>
              <w:top w:val="single" w:sz="12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rebuchet MS" w:hAnsi="Trebuchet MS" w:cs="Trebuchet MS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Trebuchet MS" w:ascii="Trebuchet MS" w:hAnsi="Trebuchet MS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Palatino Linotype" w:hAnsi="Palatino Linotype" w:cs="Palatino Linotype"/>
                <w:b/>
                <w:bCs/>
                <w:i/>
                <w:i/>
                <w:color w:val="444444"/>
                <w:sz w:val="20"/>
                <w:szCs w:val="20"/>
                <w:lang w:val="uk-UA"/>
              </w:rPr>
            </w:pPr>
            <w:r>
              <w:rPr>
                <w:rFonts w:cs="Palatino Linotype" w:ascii="Palatino Linotype" w:hAnsi="Palatino Linotype"/>
                <w:b/>
                <w:bCs/>
                <w:i/>
                <w:color w:val="444444"/>
                <w:sz w:val="20"/>
                <w:szCs w:val="20"/>
                <w:lang w:val="uk-UA"/>
              </w:rPr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shd w:fill="FFFFFF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ind w:hanging="0" w:start="0" w:end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color w:val="002060"/>
                <w:sz w:val="20"/>
                <w:szCs w:val="20"/>
                <w:lang w:val="uk-UA"/>
              </w:rPr>
              <w:t xml:space="preserve">Будиночок із </w:t>
            </w:r>
            <w:r>
              <w:rPr>
                <w:b/>
                <w:bCs/>
                <w:i/>
                <w:color w:val="002060"/>
                <w:sz w:val="20"/>
                <w:szCs w:val="20"/>
              </w:rPr>
              <w:t>зручностями</w:t>
            </w:r>
          </w:p>
        </w:tc>
      </w:tr>
      <w:tr>
        <w:trPr>
          <w:trHeight w:val="886" w:hRule="atLeast"/>
        </w:trPr>
        <w:tc>
          <w:tcPr>
            <w:tcW w:w="1373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</w:tcBorders>
            <w:shd w:fill="EAF1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sz w:val="28"/>
                <w:szCs w:val="28"/>
                <w:lang w:val="uk-UA"/>
              </w:rPr>
            </w:pP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19.</w:t>
            </w:r>
            <w:r>
              <w:rPr>
                <w:rFonts w:cs="Cambria" w:ascii="Cambria" w:hAnsi="Cambria"/>
                <w:b/>
                <w:sz w:val="28"/>
                <w:szCs w:val="28"/>
              </w:rPr>
              <w:t>0</w:t>
            </w: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4 –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03.06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580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630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790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810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vMerge w:val="restart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eastAsia="Times New Roman" w:cs="Tahoma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ahoma" w:ascii="Tahoma" w:hAnsi="Tahoma"/>
                <w:color w:val="auto"/>
                <w:sz w:val="24"/>
                <w:szCs w:val="24"/>
                <w:lang w:val="uk-UA" w:eastAsia="zh-CN" w:bidi="ar-SA"/>
              </w:rPr>
              <w:t>1050 грн.</w:t>
            </w:r>
          </w:p>
          <w:p>
            <w:pPr>
              <w:pStyle w:val="Normal"/>
              <w:jc w:val="center"/>
              <w:rPr>
                <w:rFonts w:ascii="Tahoma" w:hAnsi="Tahoma" w:eastAsia="Times New Roman" w:cs="Tahoma"/>
                <w:color w:val="auto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ahoma" w:ascii="Tahoma" w:hAnsi="Tahoma"/>
                <w:color w:val="auto"/>
                <w:sz w:val="24"/>
                <w:szCs w:val="24"/>
                <w:lang w:val="uk-UA" w:eastAsia="zh-CN" w:bidi="ar-SA"/>
              </w:rPr>
              <w:t>на добу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1160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2500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start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1500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</w:tr>
      <w:tr>
        <w:trPr>
          <w:trHeight w:val="804" w:hRule="atLeast"/>
        </w:trPr>
        <w:tc>
          <w:tcPr>
            <w:tcW w:w="1373" w:type="dxa"/>
            <w:tcBorders>
              <w:top w:val="single" w:sz="4" w:space="0" w:color="000000"/>
              <w:start w:val="single" w:sz="12" w:space="0" w:color="000000"/>
            </w:tcBorders>
            <w:shd w:fill="EAF1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sz w:val="28"/>
                <w:szCs w:val="28"/>
                <w:lang w:val="uk-UA"/>
              </w:rPr>
            </w:pP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04.06 –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30</w:t>
            </w:r>
            <w:r>
              <w:rPr>
                <w:rFonts w:cs="Cambria" w:ascii="Cambria" w:hAnsi="Cambria"/>
                <w:b/>
                <w:sz w:val="28"/>
                <w:szCs w:val="28"/>
              </w:rPr>
              <w:t>.08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600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650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810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830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1190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702" w:type="dxa"/>
            <w:vMerge w:val="continue"/>
            <w:tcBorders>
              <w:top w:val="single" w:sz="12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702" w:type="dxa"/>
            <w:vMerge w:val="continue"/>
            <w:tcBorders>
              <w:top w:val="single" w:sz="12" w:space="0" w:color="000000"/>
              <w:start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804" w:hRule="atLeast"/>
        </w:trPr>
        <w:tc>
          <w:tcPr>
            <w:tcW w:w="1373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</w:tcBorders>
            <w:shd w:fill="EAF1DD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31.08</w:t>
            </w:r>
            <w:r>
              <w:rPr>
                <w:rFonts w:cs="Cambria"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cs="Cambria" w:ascii="Cambria" w:hAnsi="Cambria"/>
                <w:b/>
                <w:sz w:val="28"/>
                <w:szCs w:val="28"/>
                <w:lang w:val="uk-UA"/>
              </w:rPr>
              <w:t>–</w:t>
            </w:r>
          </w:p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cs="Cambria" w:ascii="Cambria" w:hAnsi="Cambria"/>
                <w:b/>
                <w:sz w:val="28"/>
                <w:szCs w:val="28"/>
              </w:rPr>
              <w:t>29.10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580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630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790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en-US"/>
              </w:rPr>
              <w:t>810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853" w:type="dxa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lang w:val="uk-UA"/>
              </w:rPr>
              <w:t>1160</w:t>
            </w:r>
            <w:r>
              <w:rPr>
                <w:rFonts w:cs="Tahoma" w:ascii="Tahoma" w:hAnsi="Tahoma"/>
              </w:rPr>
              <w:t xml:space="preserve"> грн.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на добу</w:t>
            </w:r>
          </w:p>
        </w:tc>
        <w:tc>
          <w:tcPr>
            <w:tcW w:w="1702" w:type="dxa"/>
            <w:vMerge w:val="continue"/>
            <w:tcBorders>
              <w:top w:val="single" w:sz="12" w:space="0" w:color="000000"/>
              <w:star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702" w:type="dxa"/>
            <w:vMerge w:val="continue"/>
            <w:tcBorders>
              <w:top w:val="single" w:sz="12" w:space="0" w:color="000000"/>
              <w:start w:val="single" w:sz="4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397" w:hRule="atLeast"/>
        </w:trPr>
        <w:tc>
          <w:tcPr>
            <w:tcW w:w="1373" w:type="dxa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  <w:shd w:fill="FFFFD7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  <w:lang w:val="uk-UA"/>
              </w:rPr>
              <w:t xml:space="preserve">з </w:t>
            </w:r>
            <w:r>
              <w:rPr>
                <w:rFonts w:cs="Cambria" w:ascii="Cambria" w:hAnsi="Cambria"/>
                <w:b/>
                <w:bCs/>
                <w:sz w:val="20"/>
                <w:szCs w:val="20"/>
                <w:lang w:val="en-US"/>
              </w:rPr>
              <w:t>19.04</w:t>
            </w:r>
          </w:p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  <w:lang w:val="uk-UA"/>
              </w:rPr>
              <w:t>по 29.10</w:t>
            </w:r>
          </w:p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Cs/>
                <w:color w:val="FF0000"/>
                <w:sz w:val="20"/>
                <w:szCs w:val="20"/>
                <w:lang w:val="uk-UA"/>
              </w:rPr>
              <w:t>до 5 діб</w:t>
            </w:r>
          </w:p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Cs/>
                <w:color w:val="FF0000"/>
                <w:sz w:val="20"/>
                <w:szCs w:val="20"/>
                <w:lang w:val="uk-UA"/>
              </w:rPr>
              <w:t>включно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650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710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845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870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1120</w:t>
            </w:r>
            <w:r>
              <w:rPr>
                <w:rFonts w:cs="Tahoma" w:ascii="Tahoma" w:hAnsi="Tahoma"/>
                <w:color w:val="FF0000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1250</w:t>
            </w:r>
            <w:r>
              <w:rPr>
                <w:rFonts w:cs="Tahoma" w:ascii="Tahoma" w:hAnsi="Tahoma"/>
                <w:color w:val="FF0000"/>
              </w:rPr>
              <w:t xml:space="preserve"> грн.</w:t>
            </w:r>
          </w:p>
        </w:tc>
        <w:tc>
          <w:tcPr>
            <w:tcW w:w="1702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2850</w:t>
            </w:r>
            <w:r>
              <w:rPr>
                <w:rFonts w:cs="Tahoma" w:ascii="Tahoma" w:hAnsi="Tahoma"/>
                <w:color w:val="FF0000"/>
              </w:rPr>
              <w:t xml:space="preserve"> грн.</w:t>
            </w:r>
          </w:p>
        </w:tc>
        <w:tc>
          <w:tcPr>
            <w:tcW w:w="1702" w:type="dxa"/>
            <w:tcBorders>
              <w:top w:val="single" w:sz="12" w:space="0" w:color="000000"/>
              <w:start w:val="single" w:sz="4" w:space="0" w:color="000000"/>
              <w:bottom w:val="single" w:sz="8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1700</w:t>
            </w:r>
            <w:r>
              <w:rPr>
                <w:rFonts w:cs="Tahoma" w:ascii="Tahoma" w:hAnsi="Tahoma"/>
                <w:color w:val="FF0000"/>
              </w:rPr>
              <w:t xml:space="preserve"> грн.</w:t>
            </w:r>
          </w:p>
        </w:tc>
      </w:tr>
      <w:tr>
        <w:trPr>
          <w:trHeight w:val="884" w:hRule="atLeast"/>
        </w:trPr>
        <w:tc>
          <w:tcPr>
            <w:tcW w:w="1373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fill="FFFFD7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/>
                <w:bCs/>
                <w:color w:val="auto"/>
                <w:sz w:val="20"/>
                <w:szCs w:val="20"/>
                <w:lang w:val="uk-UA"/>
              </w:rPr>
              <w:t>Вартість проживання</w:t>
            </w:r>
            <w:r>
              <w:rPr>
                <w:rFonts w:cs="Cambria" w:ascii="Cambria" w:hAnsi="Cambria"/>
                <w:b/>
                <w:bCs/>
                <w:color w:val="444444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mbria" w:ascii="Cambria" w:hAnsi="Cambria"/>
                <w:bCs/>
                <w:color w:val="FF0000"/>
                <w:sz w:val="20"/>
                <w:szCs w:val="20"/>
                <w:lang w:val="uk-UA"/>
              </w:rPr>
              <w:t>на 1 добу</w:t>
            </w:r>
          </w:p>
          <w:p>
            <w:pPr>
              <w:pStyle w:val="Normal"/>
              <w:jc w:val="center"/>
              <w:rPr>
                <w:rFonts w:ascii="Cambria" w:hAnsi="Cambria" w:cs="Cambria"/>
                <w:bCs/>
                <w:color w:val="FF0000"/>
                <w:sz w:val="20"/>
                <w:szCs w:val="20"/>
                <w:lang w:val="uk-UA"/>
              </w:rPr>
            </w:pPr>
            <w:r>
              <w:rPr>
                <w:rFonts w:cs="Cambria" w:ascii="Cambria" w:hAnsi="Cambria"/>
                <w:bCs/>
                <w:color w:val="FF0000"/>
                <w:sz w:val="20"/>
                <w:szCs w:val="20"/>
                <w:lang w:val="uk-UA"/>
              </w:rPr>
              <w:t>у сезон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700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780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920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950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1250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853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cs="Tahoma" w:ascii="Tahoma" w:hAnsi="Tahoma"/>
                <w:color w:val="FF0000"/>
                <w:lang w:val="en-US"/>
              </w:rPr>
              <w:t>1460</w:t>
            </w:r>
            <w:r>
              <w:rPr>
                <w:rFonts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eastAsia="Tahoma" w:cs="Tahoma" w:ascii="Tahoma" w:hAnsi="Tahoma"/>
                <w:color w:val="FF0000"/>
                <w:lang w:val="en-US"/>
              </w:rPr>
              <w:t>3500</w:t>
            </w:r>
            <w:r>
              <w:rPr>
                <w:rFonts w:eastAsia="Tahoma" w:cs="Tahoma" w:ascii="Tahoma" w:hAnsi="Tahoma"/>
                <w:color w:val="FF0000"/>
                <w:lang w:val="uk-UA"/>
              </w:rPr>
              <w:t xml:space="preserve"> грн.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952" w:leader="none"/>
              </w:tabs>
              <w:ind w:start="-57" w:end="-57"/>
              <w:jc w:val="center"/>
              <w:rPr/>
            </w:pPr>
            <w:r>
              <w:rPr>
                <w:rFonts w:eastAsia="Tahoma" w:cs="Tahoma" w:ascii="Tahoma" w:hAnsi="Tahoma"/>
                <w:color w:val="FF0000"/>
                <w:lang w:val="en-US"/>
              </w:rPr>
              <w:t>2300</w:t>
            </w:r>
            <w:r>
              <w:rPr>
                <w:rFonts w:eastAsia="Tahoma" w:cs="Tahoma" w:ascii="Tahoma" w:hAnsi="Tahoma"/>
                <w:color w:val="FF0000"/>
                <w:lang w:val="uk-UA"/>
              </w:rPr>
              <w:t xml:space="preserve"> грн.</w:t>
            </w:r>
          </w:p>
        </w:tc>
      </w:tr>
    </w:tbl>
    <w:p>
      <w:pPr>
        <w:pStyle w:val="Normal"/>
        <w:tabs>
          <w:tab w:val="clear" w:pos="708"/>
          <w:tab w:val="left" w:pos="11952" w:leader="none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* № </w:t>
      </w:r>
      <w:r>
        <w:rPr>
          <w:i/>
          <w:sz w:val="20"/>
          <w:szCs w:val="20"/>
          <w:lang w:val="uk-UA"/>
        </w:rPr>
        <w:t>1,</w:t>
      </w:r>
      <w:r>
        <w:rPr>
          <w:i/>
          <w:sz w:val="20"/>
          <w:szCs w:val="20"/>
          <w:lang w:val="uk-UA"/>
        </w:rPr>
        <w:t xml:space="preserve">2, 4, </w:t>
      </w:r>
      <w:r>
        <w:rPr>
          <w:i/>
          <w:sz w:val="20"/>
          <w:szCs w:val="20"/>
          <w:lang w:val="uk-UA"/>
        </w:rPr>
        <w:t>5, 7, 11, 12, 14, 17, 24, 26, 29, 31-34, 36, 40, 44-1, 44-2, 47</w:t>
      </w:r>
    </w:p>
    <w:p>
      <w:pPr>
        <w:pStyle w:val="Normal"/>
        <w:tabs>
          <w:tab w:val="clear" w:pos="708"/>
          <w:tab w:val="left" w:pos="11952" w:leader="none"/>
        </w:tabs>
        <w:rPr>
          <w:i/>
          <w:i/>
          <w:lang w:val="uk-UA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1952" w:leader="none"/>
        </w:tabs>
        <w:rPr>
          <w:rFonts w:ascii="Constantia" w:hAnsi="Constantia" w:cs="Constantia"/>
          <w:b/>
          <w:i/>
          <w:i/>
          <w:color w:val="000080"/>
          <w:sz w:val="24"/>
          <w:szCs w:val="24"/>
          <w:u w:val="single"/>
          <w:vertAlign w:val="superscript"/>
          <w:lang w:val="uk-UA"/>
        </w:rPr>
      </w:pPr>
      <w:r>
        <w:rPr>
          <w:rFonts w:cs="Constantia" w:ascii="Constantia" w:hAnsi="Constantia"/>
          <w:b/>
          <w:i/>
          <w:color w:val="000080"/>
          <w:sz w:val="24"/>
          <w:szCs w:val="24"/>
          <w:u w:val="single"/>
          <w:vertAlign w:val="superscript"/>
          <w:lang w:val="uk-UA"/>
        </w:rPr>
      </w:r>
    </w:p>
    <w:p>
      <w:pPr>
        <w:pStyle w:val="Normal"/>
        <w:tabs>
          <w:tab w:val="clear" w:pos="708"/>
          <w:tab w:val="left" w:pos="11952" w:leader="none"/>
        </w:tabs>
        <w:rPr>
          <w:rFonts w:ascii="Constantia" w:hAnsi="Constantia" w:cs="Constantia"/>
          <w:b/>
          <w:color w:val="333333"/>
          <w:lang w:val="uk-UA"/>
        </w:rPr>
      </w:pPr>
      <w:r>
        <w:rPr>
          <w:rFonts w:cs="Constantia" w:ascii="Constantia" w:hAnsi="Constantia"/>
          <w:b/>
          <w:i/>
          <w:color w:val="000080"/>
          <w:u w:val="single"/>
          <w:lang w:val="uk-UA"/>
        </w:rPr>
        <w:t>Додаткові послуги:</w:t>
      </w:r>
    </w:p>
    <w:p>
      <w:pPr>
        <w:sectPr>
          <w:type w:val="nextPage"/>
          <w:pgSz w:orient="landscape" w:w="16838" w:h="11906"/>
          <w:pgMar w:left="567" w:right="395" w:gutter="0" w:header="0" w:top="990" w:footer="0" w:bottom="959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1952" w:leader="none"/>
        </w:tabs>
        <w:rPr>
          <w:rFonts w:ascii="Bookman Old Style" w:hAnsi="Bookman Old Style" w:cs="Bookman Old Style"/>
          <w:color w:val="FFFF99"/>
          <w:shd w:fill="000080" w:val="clear"/>
          <w:lang w:val="uk-UA"/>
        </w:rPr>
      </w:pPr>
      <w:r>
        <w:rPr>
          <w:rFonts w:cs="Constantia" w:ascii="Constantia" w:hAnsi="Constantia"/>
          <w:b/>
          <w:color w:val="333333"/>
          <w:lang w:val="uk-UA"/>
        </w:rPr>
        <w:t>Човен</w:t>
      </w:r>
      <w:r>
        <w:rPr>
          <w:rFonts w:cs="Constantia" w:ascii="Constantia" w:hAnsi="Constantia"/>
          <w:color w:val="333333"/>
          <w:lang w:val="uk-UA"/>
        </w:rPr>
        <w:t xml:space="preserve"> – 50 грн./ год.</w:t>
      </w:r>
    </w:p>
    <w:p>
      <w:pPr>
        <w:sectPr>
          <w:type w:val="continuous"/>
          <w:pgSz w:orient="landscape" w:w="16838" w:h="11906"/>
          <w:pgMar w:left="567" w:right="395" w:gutter="0" w:header="0" w:top="990" w:footer="0" w:bottom="959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Bookman Old Style" w:hAnsi="Bookman Old Style" w:cs="Bookman Old Style"/>
          <w:color w:val="FFFF99"/>
          <w:shd w:fill="000080" w:val="clear"/>
          <w:lang w:val="uk-UA"/>
        </w:rPr>
      </w:pPr>
      <w:r>
        <w:rPr>
          <w:rFonts w:cs="Bookman Old Style" w:ascii="Bookman Old Style" w:hAnsi="Bookman Old Style"/>
          <w:color w:val="FFFF99"/>
          <w:shd w:fill="000080" w:val="clear"/>
          <w:lang w:val="uk-UA"/>
        </w:rPr>
      </w:r>
    </w:p>
    <w:p>
      <w:pPr>
        <w:pStyle w:val="Normal"/>
        <w:rPr>
          <w:rFonts w:ascii="Bookman Old Style" w:hAnsi="Bookman Old Style" w:cs="Bookman Old Style"/>
          <w:color w:val="FFFF99"/>
          <w:shd w:fill="000080" w:val="clear"/>
          <w:lang w:val="uk-UA"/>
        </w:rPr>
      </w:pPr>
      <w:r>
        <w:rPr>
          <w:rFonts w:cs="Bookman Old Style" w:ascii="Bookman Old Style" w:hAnsi="Bookman Old Style"/>
          <w:color w:val="FFFF99"/>
          <w:shd w:fill="000080" w:val="clear"/>
          <w:lang w:val="uk-UA"/>
        </w:rPr>
      </w:r>
    </w:p>
    <w:p>
      <w:pPr>
        <w:pStyle w:val="Normal"/>
        <w:rPr>
          <w:rFonts w:ascii="Bookman Old Style" w:hAnsi="Bookman Old Style" w:cs="Bookman Old Style"/>
          <w:color w:val="FFFF99"/>
          <w:shd w:fill="000080" w:val="clear"/>
          <w:lang w:val="uk-UA"/>
        </w:rPr>
      </w:pPr>
      <w:r>
        <w:rPr>
          <w:rFonts w:cs="Bookman Old Style" w:ascii="Bookman Old Style" w:hAnsi="Bookman Old Style"/>
          <w:color w:val="FFFF99"/>
          <w:shd w:fill="000080" w:val="clear"/>
          <w:lang w:val="uk-UA"/>
        </w:rPr>
      </w:r>
    </w:p>
    <w:tbl>
      <w:tblPr>
        <w:tblW w:w="15999" w:type="dxa"/>
        <w:jc w:val="start"/>
        <w:tblInd w:w="3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1279"/>
        <w:gridCol w:w="4719"/>
      </w:tblGrid>
      <w:tr>
        <w:trPr/>
        <w:tc>
          <w:tcPr>
            <w:tcW w:w="11279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cs="Century" w:ascii="Century" w:hAnsi="Century"/>
                <w:b/>
                <w:sz w:val="36"/>
                <w:szCs w:val="36"/>
                <w:lang w:val="uk-UA"/>
              </w:rPr>
              <w:t xml:space="preserve">Більш докладна інформація </w:t>
            </w:r>
            <w:r>
              <w:rPr>
                <w:rFonts w:cs="Century" w:ascii="Century" w:hAnsi="Century"/>
                <w:sz w:val="36"/>
                <w:szCs w:val="36"/>
                <w:lang w:val="uk-UA"/>
              </w:rPr>
              <w:t xml:space="preserve">на сайті </w:t>
            </w:r>
            <w:r>
              <w:rPr>
                <w:rFonts w:cs="Century" w:ascii="Century" w:hAnsi="Century"/>
                <w:b/>
                <w:color w:val="0070C0"/>
                <w:sz w:val="36"/>
                <w:szCs w:val="36"/>
                <w:u w:val="single"/>
                <w:lang w:val="uk-UA"/>
              </w:rPr>
              <w:t>baza-kvazar.</w:t>
            </w:r>
            <w:r>
              <w:rPr>
                <w:rFonts w:cs="Century" w:ascii="Century" w:hAnsi="Century"/>
                <w:b/>
                <w:color w:val="0070C0"/>
                <w:sz w:val="36"/>
                <w:szCs w:val="36"/>
                <w:u w:val="single"/>
                <w:lang w:val="en-US"/>
              </w:rPr>
              <w:t>com</w:t>
            </w:r>
            <w:r>
              <w:rPr>
                <w:rFonts w:cs="Century" w:ascii="Century" w:hAnsi="Century"/>
                <w:b/>
                <w:color w:val="0070C0"/>
                <w:sz w:val="36"/>
                <w:szCs w:val="36"/>
                <w:u w:val="single"/>
                <w:lang w:val="uk-UA"/>
              </w:rPr>
              <w:t>.</w:t>
            </w:r>
            <w:r>
              <w:rPr>
                <w:rFonts w:cs="Century" w:ascii="Century" w:hAnsi="Century"/>
                <w:b/>
                <w:color w:val="0070C0"/>
                <w:sz w:val="36"/>
                <w:szCs w:val="36"/>
                <w:u w:val="single"/>
                <w:lang w:val="en-US"/>
              </w:rPr>
              <w:t>ua</w:t>
            </w:r>
          </w:p>
        </w:tc>
        <w:tc>
          <w:tcPr>
            <w:tcW w:w="4719" w:type="dxa"/>
            <w:tcBorders/>
            <w:vAlign w:val="center"/>
          </w:tcPr>
          <w:p>
            <w:pPr>
              <w:pStyle w:val="Normal"/>
              <w:jc w:val="end"/>
              <w:rPr>
                <w:rFonts w:ascii="Bookman Old Style" w:hAnsi="Bookman Old Style" w:cs="Bookman Old Style"/>
                <w:color w:val="FFFF99"/>
                <w:shd w:fill="000080" w:val="clear"/>
                <w:lang w:val="uk-UA"/>
              </w:rPr>
            </w:pPr>
            <w:r>
              <w:rPr>
                <w:rFonts w:cs="Bookman Old Style" w:ascii="Bookman Old Style" w:hAnsi="Bookman Old Style"/>
                <w:color w:val="FFFF99"/>
                <w:shd w:fill="000080" w:val="clear"/>
                <w:lang w:val="uk-UA"/>
              </w:rPr>
              <w:t>Директор бази</w:t>
            </w:r>
          </w:p>
          <w:p>
            <w:pPr>
              <w:pStyle w:val="Normal"/>
              <w:jc w:val="end"/>
              <w:rPr>
                <w:rFonts w:ascii="Bookman Old Style" w:hAnsi="Bookman Old Style" w:cs="Bookman Old Style"/>
                <w:color w:val="FFFF99"/>
                <w:shd w:fill="000080" w:val="clear"/>
                <w:lang w:val="uk-UA"/>
              </w:rPr>
            </w:pPr>
            <w:r>
              <w:rPr>
                <w:rFonts w:cs="Bookman Old Style" w:ascii="Bookman Old Style" w:hAnsi="Bookman Old Style"/>
                <w:color w:val="FFFF99"/>
                <w:shd w:fill="000080" w:val="clear"/>
                <w:lang w:val="uk-UA"/>
              </w:rPr>
              <w:t>Ромаш Н.В.</w:t>
            </w:r>
          </w:p>
        </w:tc>
      </w:tr>
    </w:tbl>
    <w:p>
      <w:pPr>
        <w:pStyle w:val="Normal"/>
        <w:pageBreakBefore w:val="false"/>
        <w:rPr/>
      </w:pPr>
      <w:r>
        <w:rPr/>
      </w:r>
    </w:p>
    <w:sectPr>
      <w:type w:val="continuous"/>
      <w:pgSz w:orient="landscape" w:w="16838" w:h="11906"/>
      <w:pgMar w:left="567" w:right="395" w:gutter="0" w:header="0" w:top="990" w:footer="0" w:bottom="959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Trebuchet MS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Palatino Linotype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Constantia">
    <w:charset w:val="cc" w:characterSet="windows-1251"/>
    <w:family w:val="roman"/>
    <w:pitch w:val="variable"/>
  </w:font>
  <w:font w:name="Bookman Old Style">
    <w:charset w:val="cc" w:characterSet="windows-1251"/>
    <w:family w:val="roman"/>
    <w:pitch w:val="variable"/>
  </w:font>
  <w:font w:name="Century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outlineLvl w:val="0"/>
    </w:pPr>
    <w:rPr>
      <w:rFonts w:ascii="Arial" w:hAnsi="Arial" w:cs="Arial"/>
      <w:b/>
      <w:bCs/>
      <w:color w:val="7B98F8"/>
      <w:kern w:val="2"/>
      <w:sz w:val="31"/>
      <w:szCs w:val="31"/>
    </w:rPr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Style1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TrebuchetMS">
    <w:name w:val="Обычный + Trebuchet MS"/>
    <w:basedOn w:val="Normal"/>
    <w:qFormat/>
    <w:pPr>
      <w:spacing w:before="280" w:after="280"/>
      <w:jc w:val="center"/>
    </w:pPr>
    <w:rPr>
      <w:rFonts w:ascii="Trebuchet MS" w:hAnsi="Trebuchet MS" w:cs="Trebuchet MS"/>
      <w:b/>
      <w:bCs/>
      <w:sz w:val="20"/>
      <w:szCs w:val="20"/>
      <w:lang w:val="uk-U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631</TotalTime>
  <Application>LibreOffice/7.6.7.2$Windows_X86_64 LibreOffice_project/dd47e4b30cb7dab30588d6c79c651f218165e3c5</Application>
  <AppVersion>15.0000</AppVersion>
  <Pages>1</Pages>
  <Words>232</Words>
  <Characters>954</Characters>
  <CharactersWithSpaces>1088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2021-05-19T11:37:00Z</dcterms:created>
  <dc:creator>KVAZAR</dc:creator>
  <dc:description/>
  <dc:language>uk-UA</dc:language>
  <cp:lastModifiedBy/>
  <cp:lastPrinted>2021-05-20T16:13:00Z</cp:lastPrinted>
  <dcterms:modified xsi:type="dcterms:W3CDTF">2025-04-11T13:18:26Z</dcterms:modified>
  <cp:revision>33</cp:revision>
  <dc:subject/>
  <dc:title>Вартість путівки на відпочинок на базі «Квазар-Рось»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